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E2743" w14:textId="77777777" w:rsidR="00867EED" w:rsidRPr="00867EED" w:rsidRDefault="00867EED" w:rsidP="00867EED">
      <w:pPr>
        <w:shd w:val="clear" w:color="auto" w:fill="D0E5FC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cs-CZ"/>
        </w:rPr>
      </w:pPr>
      <w:r w:rsidRPr="00867EED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cs-CZ"/>
        </w:rPr>
        <w:t xml:space="preserve">Species </w:t>
      </w:r>
      <w:proofErr w:type="spellStart"/>
      <w:r w:rsidRPr="00867EED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cs-CZ"/>
        </w:rPr>
        <w:t>selection</w:t>
      </w:r>
      <w:proofErr w:type="spellEnd"/>
      <w:r w:rsidRPr="00867EED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cs-CZ"/>
        </w:rPr>
        <w:t xml:space="preserve"> and </w:t>
      </w:r>
      <w:proofErr w:type="spellStart"/>
      <w:r w:rsidRPr="00867EED">
        <w:rPr>
          <w:rFonts w:ascii="Times New Roman" w:eastAsia="Times New Roman" w:hAnsi="Times New Roman" w:cs="Times New Roman"/>
          <w:b/>
          <w:bCs/>
          <w:color w:val="000000"/>
          <w:kern w:val="36"/>
          <w:sz w:val="63"/>
          <w:szCs w:val="63"/>
          <w:lang w:eastAsia="cs-CZ"/>
        </w:rPr>
        <w:t>classification</w:t>
      </w:r>
      <w:proofErr w:type="spellEnd"/>
    </w:p>
    <w:p w14:paraId="7C44EEF5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To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produce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common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bird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indicators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that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are to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included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have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selected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according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to habitat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types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Europe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.</w:t>
      </w:r>
    </w:p>
    <w:p w14:paraId="7B9020FD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So far,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three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versions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our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PECBMS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European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selection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/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have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been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produced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used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Initially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based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on expert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judgment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comprising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only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 limited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number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procedure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has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developed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to a more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formal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level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bio-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geographical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and more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100 species are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nowadays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used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produce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indicators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.</w:t>
      </w:r>
    </w:p>
    <w:p w14:paraId="634E9101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The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first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set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European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indicators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was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based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on 47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common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bird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species.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were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by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national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coordinators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monitoring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schemes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other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experts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who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met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PECBMS workshop in Prague in 2002 (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read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report in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 </w:t>
      </w:r>
      <w:hyperlink r:id="rId5" w:tgtFrame="_blank" w:history="1">
        <w:r w:rsidRPr="00867EED">
          <w:rPr>
            <w:rFonts w:ascii="Roboto" w:eastAsia="Times New Roman" w:hAnsi="Roboto" w:cs="Times New Roman"/>
            <w:color w:val="134B94"/>
            <w:sz w:val="24"/>
            <w:szCs w:val="24"/>
            <w:u w:val="single"/>
            <w:lang w:eastAsia="cs-CZ"/>
          </w:rPr>
          <w:t xml:space="preserve">Bird Census </w:t>
        </w:r>
        <w:proofErr w:type="spellStart"/>
        <w:r w:rsidRPr="00867EED">
          <w:rPr>
            <w:rFonts w:ascii="Roboto" w:eastAsia="Times New Roman" w:hAnsi="Roboto" w:cs="Times New Roman"/>
            <w:color w:val="134B94"/>
            <w:sz w:val="24"/>
            <w:szCs w:val="24"/>
            <w:u w:val="single"/>
            <w:lang w:eastAsia="cs-CZ"/>
          </w:rPr>
          <w:t>News</w:t>
        </w:r>
        <w:proofErr w:type="spellEnd"/>
        <w:r w:rsidRPr="00867EED">
          <w:rPr>
            <w:rFonts w:ascii="Roboto" w:eastAsia="Times New Roman" w:hAnsi="Roboto" w:cs="Times New Roman"/>
            <w:color w:val="134B94"/>
            <w:sz w:val="24"/>
            <w:szCs w:val="24"/>
            <w:u w:val="single"/>
            <w:lang w:eastAsia="cs-CZ"/>
          </w:rPr>
          <w:t xml:space="preserve"> 16/1</w:t>
        </w:r>
      </w:hyperlink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). The second set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European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indicators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comprised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enlarged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set,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according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publication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by </w:t>
      </w:r>
      <w:commentRangeStart w:id="0"/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fldChar w:fldCharType="begin"/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instrText xml:space="preserve"> HYPERLINK "https://www.ebcc.info/multispecies_indicators/index.php?p=942" \t "_blank" </w:instrTex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fldChar w:fldCharType="separate"/>
      </w:r>
      <w:r w:rsidRPr="00867EED">
        <w:rPr>
          <w:rFonts w:ascii="Roboto" w:eastAsia="Times New Roman" w:hAnsi="Roboto" w:cs="Times New Roman"/>
          <w:color w:val="134B94"/>
          <w:sz w:val="24"/>
          <w:szCs w:val="24"/>
          <w:u w:val="single"/>
          <w:lang w:eastAsia="cs-CZ"/>
        </w:rPr>
        <w:t>Tucker</w:t>
      </w:r>
      <w:proofErr w:type="spellEnd"/>
      <w:r w:rsidRPr="00867EED">
        <w:rPr>
          <w:rFonts w:ascii="Roboto" w:eastAsia="Times New Roman" w:hAnsi="Roboto" w:cs="Times New Roman"/>
          <w:color w:val="134B94"/>
          <w:sz w:val="24"/>
          <w:szCs w:val="24"/>
          <w:u w:val="single"/>
          <w:lang w:eastAsia="cs-CZ"/>
        </w:rPr>
        <w:t xml:space="preserve"> &amp; </w:t>
      </w:r>
      <w:proofErr w:type="spellStart"/>
      <w:r w:rsidRPr="00867EED">
        <w:rPr>
          <w:rFonts w:ascii="Roboto" w:eastAsia="Times New Roman" w:hAnsi="Roboto" w:cs="Times New Roman"/>
          <w:color w:val="134B94"/>
          <w:sz w:val="24"/>
          <w:szCs w:val="24"/>
          <w:u w:val="single"/>
          <w:lang w:eastAsia="cs-CZ"/>
        </w:rPr>
        <w:t>Evans</w:t>
      </w:r>
      <w:proofErr w:type="spellEnd"/>
      <w:r w:rsidRPr="00867EED">
        <w:rPr>
          <w:rFonts w:ascii="Roboto" w:eastAsia="Times New Roman" w:hAnsi="Roboto" w:cs="Times New Roman"/>
          <w:color w:val="134B94"/>
          <w:sz w:val="24"/>
          <w:szCs w:val="24"/>
          <w:u w:val="single"/>
          <w:lang w:eastAsia="cs-CZ"/>
        </w:rPr>
        <w:t xml:space="preserve"> (1997)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fldChar w:fldCharType="end"/>
      </w:r>
      <w:commentRangeEnd w:id="0"/>
      <w:r>
        <w:rPr>
          <w:rStyle w:val="Odkaznakoment"/>
        </w:rPr>
        <w:commentReference w:id="0"/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Since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2007,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when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third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set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European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indicators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was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produced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based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on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assessments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within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bio-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geographical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Europe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as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described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below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.</w:t>
      </w:r>
    </w:p>
    <w:p w14:paraId="581DC062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The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recommendation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level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bio-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geographical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Europe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comes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from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 PECBMS mini workshop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held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March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2005 in Lednice, Czech Republic.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would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take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into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account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that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birds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do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slightly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different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things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different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places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so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that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for instance a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bird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that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considered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as a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forest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in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one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region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may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qualify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as a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generalist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elsewhere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Also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would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make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better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use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local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expertise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.</w:t>
      </w:r>
    </w:p>
    <w:p w14:paraId="086A5475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The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procedure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initiated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in Lednice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was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approved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developed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further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PECBMS workshop in Prague, Czech Republic, in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September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2005 (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read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report in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 </w:t>
      </w:r>
      <w:hyperlink r:id="rId8" w:tgtFrame="_blank" w:history="1">
        <w:r w:rsidRPr="00867EED">
          <w:rPr>
            <w:rFonts w:ascii="Roboto" w:eastAsia="Times New Roman" w:hAnsi="Roboto" w:cs="Times New Roman"/>
            <w:color w:val="134B94"/>
            <w:sz w:val="24"/>
            <w:szCs w:val="24"/>
            <w:u w:val="single"/>
            <w:lang w:eastAsia="cs-CZ"/>
          </w:rPr>
          <w:t xml:space="preserve">Bird Census </w:t>
        </w:r>
        <w:proofErr w:type="spellStart"/>
        <w:r w:rsidRPr="00867EED">
          <w:rPr>
            <w:rFonts w:ascii="Roboto" w:eastAsia="Times New Roman" w:hAnsi="Roboto" w:cs="Times New Roman"/>
            <w:color w:val="134B94"/>
            <w:sz w:val="24"/>
            <w:szCs w:val="24"/>
            <w:u w:val="single"/>
            <w:lang w:eastAsia="cs-CZ"/>
          </w:rPr>
          <w:t>News</w:t>
        </w:r>
        <w:proofErr w:type="spellEnd"/>
        <w:r w:rsidRPr="00867EED">
          <w:rPr>
            <w:rFonts w:ascii="Roboto" w:eastAsia="Times New Roman" w:hAnsi="Roboto" w:cs="Times New Roman"/>
            <w:color w:val="134B94"/>
            <w:sz w:val="24"/>
            <w:szCs w:val="24"/>
            <w:u w:val="single"/>
            <w:lang w:eastAsia="cs-CZ"/>
          </w:rPr>
          <w:t xml:space="preserve"> 19/1</w:t>
        </w:r>
      </w:hyperlink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).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coordinators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who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were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responsible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for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production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lists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cooperation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with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all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relevant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experts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within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their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were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appointed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and a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time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schedule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was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approved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Distinguished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were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: ´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Continental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´, ´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Atlantic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´, ´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Mediterranean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´, and ´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Boreal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´.</w:t>
      </w:r>
    </w:p>
    <w:p w14:paraId="7236D2B5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Note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that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bio-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geographical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were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used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solely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for species habitat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not for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imputation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missing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values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when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computing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supranational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population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indices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where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geographical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were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used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instead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.</w:t>
      </w:r>
    </w:p>
    <w:p w14:paraId="3C3E7186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867EED">
        <w:rPr>
          <w:rFonts w:ascii="Roboto" w:eastAsia="Times New Roman" w:hAnsi="Roboto" w:cs="Times New Roman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6E293C8A" wp14:editId="3F046701">
            <wp:extent cx="3752850" cy="4000500"/>
            <wp:effectExtent l="0" t="0" r="0" b="0"/>
            <wp:docPr id="1" name="Obrázek 1" descr="https://pecbms.info/wp-content/uploads/2019/06/bioregions-ebc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cbms.info/wp-content/uploads/2019/06/bioregions-ebcc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009D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Explantions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: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br/>
        <w:t>[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blue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] ´</w:t>
      </w:r>
      <w:proofErr w:type="spellStart"/>
      <w:r w:rsidRPr="00867EED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>Atlantic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´: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Belgium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Denmark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France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Atlantic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 (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Atlantic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part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country),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West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Germany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Atlantic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 (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Atlantic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part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country),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Ireland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Luxembourg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Netherlands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UK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.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br/>
        <w:t>[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yellow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] ´</w:t>
      </w:r>
      <w:proofErr w:type="spellStart"/>
      <w:r w:rsidRPr="00867EED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>Mediterranean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´: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France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Mediterranean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 (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Mediterranean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part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country),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Italy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Mediterranean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 (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Mediterranean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part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country),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Spain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Portugal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.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br/>
        <w:t>[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brown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] ´</w:t>
      </w:r>
      <w:r w:rsidRPr="00867EED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>Continental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´ (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incl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Pannonian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region):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Austria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Czech Republic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East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Germany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West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Germany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 Continental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 (Continental part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country),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France Continental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 (Continental part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country),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Hungary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Italy Continental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 (Continental part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country),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Poland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Switzerland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Romania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Bulgaria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Slovakia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Lithuania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.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br/>
        <w:t>[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green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] ´</w:t>
      </w:r>
      <w:proofErr w:type="spellStart"/>
      <w:r w:rsidRPr="00867EED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>Boreal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´: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Estonia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Finland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Latvia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Norway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Sweden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.</w:t>
      </w:r>
    </w:p>
    <w:p w14:paraId="0FA26633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As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are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focusing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on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common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birds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abundant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widespread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gram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are</w:t>
      </w:r>
      <w:proofErr w:type="gram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used</w:t>
      </w:r>
      <w:proofErr w:type="spellEnd"/>
      <w:proofErr w:type="gram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preferably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.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with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&gt; 50 000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breeding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pairs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 in </w:t>
      </w: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´PECBMS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Europe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´*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 are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considered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widespread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However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other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could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added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too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. These are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which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are not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well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covered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by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generic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monitoring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schemes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a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main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source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PECBMS data. Such species are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difficult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detect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by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generic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schemes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because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their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biology, for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example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those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with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nocturnal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activity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e.g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owls</w:t>
      </w:r>
      <w:proofErr w:type="spellEnd"/>
      <w:proofErr w:type="gram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some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congregatory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colonial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extremely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rare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species. Data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from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specific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monitoring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schemes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would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needed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however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this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currently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out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scope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capacity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PECBMS.</w:t>
      </w:r>
    </w:p>
    <w:p w14:paraId="643759DD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Non-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native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are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excluded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being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unnatural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component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that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doesn´t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contribute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quality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avifauna.</w:t>
      </w:r>
    </w:p>
    <w:p w14:paraId="3A7F5AFD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lastRenderedPageBreak/>
        <w:t xml:space="preserve">The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selected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were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three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groups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: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characteristic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farmland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 species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characteristic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forest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 species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 and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other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 species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them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according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their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predominant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habitat use –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farmland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forest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other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percentage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population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that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uses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farmland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/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forest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for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breeding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feeding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(0-25; 25-50; 50-75, &gt;75;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situation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in 2000).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Any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links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with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driving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force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were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indicated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.</w:t>
      </w:r>
    </w:p>
    <w:p w14:paraId="42D25E5F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checked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selected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are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sufficiently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abundant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compared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selection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between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compiled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final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list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circulated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national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coordinators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for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discussion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approval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.</w:t>
      </w:r>
    </w:p>
    <w:p w14:paraId="1B7B40C6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Finally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classifications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were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combined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into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PECBMS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European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. For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this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general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was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assigned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to a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particular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habitat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category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:</w:t>
      </w:r>
    </w:p>
    <w:p w14:paraId="6270B2BC" w14:textId="77777777" w:rsidR="00867EED" w:rsidRPr="00867EED" w:rsidRDefault="00867EED" w:rsidP="00867EED">
      <w:pPr>
        <w:numPr>
          <w:ilvl w:val="0"/>
          <w:numId w:val="1"/>
        </w:numPr>
        <w:shd w:val="clear" w:color="auto" w:fill="D0E5FC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least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two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provided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their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all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providing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agreed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or</w:t>
      </w:r>
      <w:proofErr w:type="spellEnd"/>
    </w:p>
    <w:p w14:paraId="1885C917" w14:textId="77777777" w:rsidR="00867EED" w:rsidRPr="00867EED" w:rsidRDefault="00867EED" w:rsidP="00867EED">
      <w:pPr>
        <w:numPr>
          <w:ilvl w:val="0"/>
          <w:numId w:val="1"/>
        </w:numPr>
        <w:shd w:val="clear" w:color="auto" w:fill="D0E5FC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only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one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region (minority)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differently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others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.</w:t>
      </w:r>
    </w:p>
    <w:p w14:paraId="5F803552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In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some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cases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was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provided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by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one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region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only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but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was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concentrated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that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region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didn´t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occur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elsewhere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Europe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was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accepted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European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too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.</w:t>
      </w:r>
    </w:p>
    <w:p w14:paraId="548A6CF2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regional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classifications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differed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completely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a species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was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considered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as ´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other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 species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´.</w:t>
      </w:r>
    </w:p>
    <w:p w14:paraId="5D8257CE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The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final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list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species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their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classification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can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downloaded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 </w:t>
      </w:r>
      <w:commentRangeStart w:id="1"/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fldChar w:fldCharType="begin"/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instrText xml:space="preserve"> HYPERLINK "https://pecbms.info/wp-content/uploads/2019/06/speciesclassification2018.xlsx" </w:instrTex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fldChar w:fldCharType="separate"/>
      </w:r>
      <w:r w:rsidRPr="00867EED">
        <w:rPr>
          <w:rFonts w:ascii="Roboto" w:eastAsia="Times New Roman" w:hAnsi="Roboto" w:cs="Times New Roman"/>
          <w:color w:val="134B94"/>
          <w:sz w:val="24"/>
          <w:szCs w:val="24"/>
          <w:u w:val="single"/>
          <w:lang w:eastAsia="cs-CZ"/>
        </w:rPr>
        <w:t>here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fldChar w:fldCharType="end"/>
      </w:r>
      <w:commentRangeEnd w:id="1"/>
      <w:r>
        <w:rPr>
          <w:rStyle w:val="Odkaznakoment"/>
        </w:rPr>
        <w:commentReference w:id="1"/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.</w:t>
      </w:r>
    </w:p>
    <w:p w14:paraId="6C6F5625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* ´PECBMS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Europe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´</w:t>
      </w:r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 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EU 27 +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Norway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Switzerland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consists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those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countries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which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already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deliver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their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data to PECBMS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are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supposed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to do so in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near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future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: 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Austria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Belgium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Bulgaria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Cyprus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Czech Republic,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Denmark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Estonia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Finland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France,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Germany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Greece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Hungary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Italy,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Latvia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Lithuania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Luxembourg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Netherlands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Norway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Poland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Portugal, Republic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Ireland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Romania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, Sl</w:t>
      </w:r>
      <w:bookmarkStart w:id="2" w:name="_GoBack"/>
      <w:bookmarkEnd w:id="2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ovakia,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Slovenia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Spain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Sweden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Switzerland</w:t>
      </w:r>
      <w:proofErr w:type="spellEnd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 xml:space="preserve">, United </w:t>
      </w:r>
      <w:proofErr w:type="spellStart"/>
      <w:r w:rsidRPr="00867EE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cs-CZ"/>
        </w:rPr>
        <w:t>Kingdom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.</w:t>
      </w:r>
    </w:p>
    <w:p w14:paraId="0648C141" w14:textId="77777777" w:rsidR="00867EED" w:rsidRPr="00867EED" w:rsidRDefault="00867EED" w:rsidP="00867EED">
      <w:pPr>
        <w:shd w:val="clear" w:color="auto" w:fill="D0E5FC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However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some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parts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these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countries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states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)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were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excluded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mainly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because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their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far distance to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the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mainland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of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Europe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Faroe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Islands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Greenland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Svalbard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Azores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, Madeira,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Canary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Islands</w:t>
      </w:r>
      <w:proofErr w:type="spellEnd"/>
      <w:r w:rsidRPr="00867EED"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  <w:t>, Gibraltar.</w:t>
      </w:r>
    </w:p>
    <w:p w14:paraId="302A9F2D" w14:textId="77777777" w:rsidR="00EE12D5" w:rsidRDefault="00EE12D5"/>
    <w:sectPr w:rsidR="00EE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zivatel" w:date="2019-11-20T23:06:00Z" w:initials="u">
    <w:p w14:paraId="7322FB07" w14:textId="77777777" w:rsidR="00867EED" w:rsidRDefault="00867EED">
      <w:pPr>
        <w:pStyle w:val="Textkomente"/>
      </w:pPr>
      <w:r>
        <w:rPr>
          <w:rStyle w:val="Odkaznakoment"/>
        </w:rPr>
        <w:annotationRef/>
      </w:r>
      <w:proofErr w:type="spellStart"/>
      <w:r w:rsidRPr="00867EED">
        <w:t>zmenit</w:t>
      </w:r>
      <w:proofErr w:type="spellEnd"/>
      <w:r w:rsidRPr="00867EED">
        <w:t xml:space="preserve"> odkaz na https://pecbms.info/methods/pecbms-methods/5-references-and-further-reading/</w:t>
      </w:r>
    </w:p>
  </w:comment>
  <w:comment w:id="1" w:author="uzivatel" w:date="2019-11-20T23:06:00Z" w:initials="u">
    <w:p w14:paraId="20054005" w14:textId="77777777" w:rsidR="00867EED" w:rsidRDefault="00867EED">
      <w:pPr>
        <w:pStyle w:val="Textkomente"/>
      </w:pPr>
      <w:r>
        <w:rPr>
          <w:rStyle w:val="Odkaznakoment"/>
        </w:rPr>
        <w:annotationRef/>
      </w:r>
      <w:proofErr w:type="spellStart"/>
      <w:r>
        <w:t>vymenit</w:t>
      </w:r>
      <w:proofErr w:type="spellEnd"/>
      <w:r>
        <w:t xml:space="preserve"> </w:t>
      </w:r>
      <w:proofErr w:type="spellStart"/>
      <w:r>
        <w:t>stahovaci</w:t>
      </w:r>
      <w:proofErr w:type="spellEnd"/>
      <w:r>
        <w:t xml:space="preserve"> tabulku na SpeciesClassification2019, kde se jen </w:t>
      </w:r>
      <w:proofErr w:type="spellStart"/>
      <w:r>
        <w:t>vymeni</w:t>
      </w:r>
      <w:proofErr w:type="spellEnd"/>
      <w:r>
        <w:t xml:space="preserve"> rok v </w:t>
      </w:r>
      <w:proofErr w:type="spellStart"/>
      <w:r>
        <w:t>hlavicce</w:t>
      </w:r>
      <w:proofErr w:type="spellEnd"/>
      <w:r>
        <w:t xml:space="preserve">. Nebo tabulku </w:t>
      </w:r>
      <w:proofErr w:type="spellStart"/>
      <w:r>
        <w:t>predelat</w:t>
      </w:r>
      <w:proofErr w:type="spellEnd"/>
      <w:r>
        <w:t xml:space="preserve"> na </w:t>
      </w:r>
      <w:proofErr w:type="spellStart"/>
      <w:r>
        <w:t>univerzalni</w:t>
      </w:r>
      <w:proofErr w:type="spellEnd"/>
      <w:r>
        <w:t xml:space="preserve">, tzn. bez specifikace roku, ke které </w:t>
      </w:r>
      <w:proofErr w:type="spellStart"/>
      <w:r>
        <w:t>patri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22FB07" w15:done="0"/>
  <w15:commentEx w15:paraId="200540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F7A6C"/>
    <w:multiLevelType w:val="multilevel"/>
    <w:tmpl w:val="B044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ivatel">
    <w15:presenceInfo w15:providerId="None" w15:userId="uziva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26"/>
    <w:rsid w:val="00867EED"/>
    <w:rsid w:val="008E6F26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F79E3"/>
  <w15:chartTrackingRefBased/>
  <w15:docId w15:val="{6031DEC1-FD3F-4B76-9343-6F59F5CA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67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7E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7EE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67E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E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E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E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E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cc.info/wp-content/uploads/_video_BCN_19_1.pdf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://www.ebcc.info/wp-content/uploads/_other_BCN_16_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2019-11-20T22:05:00Z</dcterms:created>
  <dcterms:modified xsi:type="dcterms:W3CDTF">2019-11-20T22:08:00Z</dcterms:modified>
</cp:coreProperties>
</file>